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AAC" w:rsidRDefault="00FA4AAC" w:rsidP="00FA4AAC">
      <w:pPr>
        <w:rPr>
          <w:noProof/>
        </w:rPr>
      </w:pPr>
    </w:p>
    <w:p w:rsidR="00EC7967" w:rsidRPr="00EC7967" w:rsidRDefault="00FA4AAC" w:rsidP="00FA4AAC">
      <w:pPr>
        <w:rPr>
          <w:b/>
          <w:noProof/>
          <w:sz w:val="40"/>
          <w:szCs w:val="40"/>
        </w:rPr>
      </w:pPr>
      <w:r>
        <w:rPr>
          <w:noProof/>
        </w:rPr>
        <w:drawing>
          <wp:anchor distT="0" distB="0" distL="114300" distR="114300" simplePos="0" relativeHeight="251658240" behindDoc="0" locked="0" layoutInCell="1" allowOverlap="1">
            <wp:simplePos x="0" y="0"/>
            <wp:positionH relativeFrom="column">
              <wp:posOffset>409575</wp:posOffset>
            </wp:positionH>
            <wp:positionV relativeFrom="paragraph">
              <wp:posOffset>12065</wp:posOffset>
            </wp:positionV>
            <wp:extent cx="952500" cy="952500"/>
            <wp:effectExtent l="0" t="0" r="0" b="0"/>
            <wp:wrapSquare wrapText="bothSides"/>
            <wp:docPr id="1" name="Picture 1" descr="MC900150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5053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Pr>
          <w:noProof/>
        </w:rPr>
        <w:tab/>
      </w:r>
      <w:r>
        <w:rPr>
          <w:noProof/>
        </w:rPr>
        <w:tab/>
        <w:t xml:space="preserve">            </w:t>
      </w:r>
      <w:r w:rsidR="00EC7967">
        <w:rPr>
          <w:noProof/>
        </w:rPr>
        <w:t xml:space="preserve">   </w:t>
      </w:r>
      <w:r w:rsidR="00EC7967" w:rsidRPr="00EC7967">
        <w:rPr>
          <w:b/>
          <w:noProof/>
          <w:sz w:val="40"/>
          <w:szCs w:val="40"/>
        </w:rPr>
        <w:t>Accounting 3</w:t>
      </w:r>
    </w:p>
    <w:p w:rsidR="00EC7967" w:rsidRDefault="00EC7967" w:rsidP="00EC7967">
      <w:pPr>
        <w:ind w:left="2160"/>
        <w:rPr>
          <w:noProof/>
          <w:sz w:val="24"/>
          <w:szCs w:val="24"/>
        </w:rPr>
      </w:pPr>
      <w:r>
        <w:rPr>
          <w:noProof/>
          <w:sz w:val="24"/>
          <w:szCs w:val="24"/>
        </w:rPr>
        <w:t xml:space="preserve">                                         </w:t>
      </w:r>
      <w:bookmarkStart w:id="0" w:name="_GoBack"/>
      <w:bookmarkEnd w:id="0"/>
    </w:p>
    <w:p w:rsidR="00FA4AAC" w:rsidRDefault="00FA4AAC" w:rsidP="00EC7967">
      <w:pPr>
        <w:ind w:left="2160"/>
        <w:rPr>
          <w:noProof/>
          <w:sz w:val="24"/>
          <w:szCs w:val="24"/>
        </w:rPr>
      </w:pPr>
    </w:p>
    <w:p w:rsidR="00EC7967" w:rsidRPr="00EC7967" w:rsidRDefault="00EC7967" w:rsidP="00EC7967">
      <w:pPr>
        <w:pStyle w:val="NoSpacing"/>
        <w:rPr>
          <w:b/>
          <w:noProof/>
          <w:sz w:val="8"/>
          <w:szCs w:val="8"/>
        </w:rPr>
      </w:pPr>
    </w:p>
    <w:p w:rsidR="00EC7967" w:rsidRPr="00EC7967" w:rsidRDefault="00EC7967" w:rsidP="00EC7967">
      <w:pPr>
        <w:pStyle w:val="NoSpacing"/>
        <w:rPr>
          <w:rFonts w:ascii="Bookman Old Style" w:hAnsi="Bookman Old Style"/>
          <w:noProof/>
          <w:sz w:val="24"/>
          <w:szCs w:val="24"/>
        </w:rPr>
      </w:pPr>
      <w:r w:rsidRPr="00EC7967">
        <w:rPr>
          <w:b/>
          <w:noProof/>
          <w:sz w:val="24"/>
          <w:szCs w:val="24"/>
        </w:rPr>
        <w:t>FOCUS:</w:t>
      </w:r>
      <w:r w:rsidRPr="00EC7967">
        <w:rPr>
          <w:noProof/>
          <w:sz w:val="24"/>
          <w:szCs w:val="24"/>
        </w:rPr>
        <w:t xml:space="preserve">  </w:t>
      </w:r>
      <w:r w:rsidRPr="00EC7967">
        <w:rPr>
          <w:rFonts w:ascii="Bookman Old Style" w:hAnsi="Bookman Old Style"/>
          <w:noProof/>
          <w:sz w:val="24"/>
          <w:szCs w:val="24"/>
        </w:rPr>
        <w:t>Emphasis will be on analyzing financial statements to evaluate performance.  Students will focus on reporting methods for purchasing and disposing of assets, contrasting capital and revenue expenditures, managing payroll costs, and disclosing long-term liabilities.  Students will examine the different reporting methods for stockholders’ equity accounts and interpret Statements of Cash Flows to evaluate the financial health of businesses.  Ratio and trend analysis are applied to interpret business activity and long-term effects of business strategies.</w:t>
      </w:r>
    </w:p>
    <w:p w:rsidR="00EC7967" w:rsidRDefault="00EC7967" w:rsidP="00EC7967">
      <w:pPr>
        <w:pStyle w:val="NoSpacing"/>
        <w:rPr>
          <w:noProof/>
          <w:sz w:val="24"/>
          <w:szCs w:val="24"/>
        </w:rPr>
      </w:pPr>
    </w:p>
    <w:p w:rsidR="009356C1" w:rsidRPr="00EC7967" w:rsidRDefault="009356C1" w:rsidP="009356C1">
      <w:pPr>
        <w:pStyle w:val="NoSpacing"/>
        <w:rPr>
          <w:rFonts w:ascii="Bookman Old Style" w:hAnsi="Bookman Old Style"/>
          <w:noProof/>
          <w:sz w:val="24"/>
          <w:szCs w:val="24"/>
        </w:rPr>
      </w:pPr>
      <w:r w:rsidRPr="00EC7967">
        <w:rPr>
          <w:b/>
          <w:noProof/>
          <w:sz w:val="24"/>
          <w:szCs w:val="24"/>
        </w:rPr>
        <w:t xml:space="preserve">QUICKBOOKS ONLINE ACCOUNTANT:  </w:t>
      </w:r>
      <w:r w:rsidRPr="00EC7967">
        <w:rPr>
          <w:rFonts w:ascii="Bookman Old Style" w:hAnsi="Bookman Old Style"/>
          <w:noProof/>
          <w:sz w:val="24"/>
          <w:szCs w:val="24"/>
        </w:rPr>
        <w:t>Students will learn QuickBooks and apply accounting principles to manage the finanical reporting needs for simulated companies.</w:t>
      </w:r>
    </w:p>
    <w:p w:rsidR="009356C1" w:rsidRPr="00EC7967" w:rsidRDefault="009356C1" w:rsidP="00EC7967">
      <w:pPr>
        <w:pStyle w:val="NoSpacing"/>
        <w:rPr>
          <w:noProof/>
          <w:sz w:val="24"/>
          <w:szCs w:val="24"/>
        </w:rPr>
      </w:pPr>
    </w:p>
    <w:p w:rsidR="00EC7967" w:rsidRPr="00EC7967" w:rsidRDefault="00EC7967" w:rsidP="00EC7967">
      <w:pPr>
        <w:spacing w:after="0"/>
        <w:ind w:left="-187"/>
        <w:rPr>
          <w:rFonts w:ascii="Bookman Old Style" w:hAnsi="Bookman Old Style"/>
          <w:noProof/>
          <w:sz w:val="24"/>
          <w:szCs w:val="24"/>
        </w:rPr>
      </w:pPr>
      <w:r w:rsidRPr="00EC7967">
        <w:rPr>
          <w:b/>
          <w:noProof/>
          <w:sz w:val="24"/>
          <w:szCs w:val="24"/>
        </w:rPr>
        <w:t xml:space="preserve">   TEXT: </w:t>
      </w:r>
      <w:r w:rsidRPr="00EC7967">
        <w:rPr>
          <w:rFonts w:ascii="Bookman Old Style" w:hAnsi="Bookman Old Style"/>
          <w:noProof/>
          <w:sz w:val="24"/>
          <w:szCs w:val="24"/>
          <w:u w:val="single"/>
        </w:rPr>
        <w:t xml:space="preserve"> Financial and Managerial Accounting</w:t>
      </w:r>
      <w:r w:rsidRPr="00EC7967">
        <w:rPr>
          <w:rFonts w:ascii="Bookman Old Style" w:hAnsi="Bookman Old Style"/>
          <w:noProof/>
          <w:sz w:val="24"/>
          <w:szCs w:val="24"/>
        </w:rPr>
        <w:t xml:space="preserve">: 17th Edition Williams, Haka, </w:t>
      </w:r>
    </w:p>
    <w:p w:rsidR="009356C1" w:rsidRDefault="00EC7967" w:rsidP="00EC7967">
      <w:pPr>
        <w:spacing w:after="0"/>
        <w:rPr>
          <w:rFonts w:ascii="Bookman Old Style" w:hAnsi="Bookman Old Style"/>
          <w:noProof/>
          <w:sz w:val="24"/>
          <w:szCs w:val="24"/>
        </w:rPr>
      </w:pPr>
      <w:r w:rsidRPr="00EC7967">
        <w:rPr>
          <w:rFonts w:ascii="Bookman Old Style" w:hAnsi="Bookman Old Style"/>
          <w:noProof/>
          <w:sz w:val="24"/>
          <w:szCs w:val="24"/>
        </w:rPr>
        <w:t>Bettner, Carcello, 2015</w:t>
      </w:r>
      <w:r w:rsidR="009356C1">
        <w:rPr>
          <w:rFonts w:ascii="Bookman Old Style" w:hAnsi="Bookman Old Style"/>
          <w:noProof/>
          <w:sz w:val="24"/>
          <w:szCs w:val="24"/>
        </w:rPr>
        <w:t xml:space="preserve"> </w:t>
      </w:r>
    </w:p>
    <w:p w:rsidR="009356C1" w:rsidRPr="00EC7967" w:rsidRDefault="009356C1" w:rsidP="00EC7967">
      <w:pPr>
        <w:spacing w:after="0"/>
        <w:rPr>
          <w:rFonts w:ascii="Bookman Old Style" w:hAnsi="Bookman Old Style"/>
          <w:noProof/>
          <w:sz w:val="24"/>
          <w:szCs w:val="24"/>
        </w:rPr>
      </w:pPr>
      <w:r w:rsidRPr="009356C1">
        <w:rPr>
          <w:rFonts w:ascii="Bookman Old Style" w:hAnsi="Bookman Old Style"/>
          <w:noProof/>
          <w:sz w:val="24"/>
          <w:szCs w:val="24"/>
          <w:u w:val="single"/>
        </w:rPr>
        <w:t>QuickBooks Online for Accounting</w:t>
      </w:r>
      <w:r>
        <w:rPr>
          <w:rFonts w:ascii="Bookman Old Style" w:hAnsi="Bookman Old Style"/>
          <w:noProof/>
          <w:sz w:val="24"/>
          <w:szCs w:val="24"/>
        </w:rPr>
        <w:t>: 2017 Glenn Owen</w:t>
      </w:r>
    </w:p>
    <w:p w:rsidR="00EC7967" w:rsidRPr="00EC7967" w:rsidRDefault="00EC7967" w:rsidP="00EC7967">
      <w:pPr>
        <w:pStyle w:val="NoSpacing"/>
        <w:rPr>
          <w:rFonts w:ascii="Bookman Old Style" w:hAnsi="Bookman Old Style"/>
          <w:noProof/>
          <w:sz w:val="24"/>
          <w:szCs w:val="24"/>
        </w:rPr>
      </w:pPr>
    </w:p>
    <w:p w:rsidR="00EC7967" w:rsidRPr="00EC7967" w:rsidRDefault="00EC7967" w:rsidP="00EC7967">
      <w:pPr>
        <w:pStyle w:val="NoSpacing"/>
        <w:rPr>
          <w:rFonts w:ascii="Bookman Old Style" w:hAnsi="Bookman Old Style"/>
          <w:noProof/>
          <w:sz w:val="24"/>
          <w:szCs w:val="24"/>
        </w:rPr>
      </w:pPr>
      <w:r w:rsidRPr="00EC7967">
        <w:rPr>
          <w:b/>
          <w:noProof/>
          <w:sz w:val="24"/>
          <w:szCs w:val="24"/>
        </w:rPr>
        <w:t>GRADING:</w:t>
      </w:r>
      <w:r w:rsidRPr="00EC7967">
        <w:rPr>
          <w:rFonts w:ascii="Bookman Old Style" w:hAnsi="Bookman Old Style"/>
          <w:noProof/>
          <w:sz w:val="24"/>
          <w:szCs w:val="24"/>
        </w:rPr>
        <w:t xml:space="preserve">  All assignments will have a point value that is averaged to produced a marking period grade. </w:t>
      </w:r>
    </w:p>
    <w:p w:rsidR="00EC7967" w:rsidRPr="00EC7967" w:rsidRDefault="00EC7967" w:rsidP="00EC7967">
      <w:pPr>
        <w:pStyle w:val="NoSpacing"/>
        <w:rPr>
          <w:rFonts w:ascii="Bookman Old Style" w:hAnsi="Bookman Old Style"/>
          <w:noProof/>
          <w:sz w:val="24"/>
          <w:szCs w:val="24"/>
        </w:rPr>
      </w:pPr>
    </w:p>
    <w:p w:rsidR="00EC7967" w:rsidRPr="00EC7967" w:rsidRDefault="00EC7967" w:rsidP="00EC7967">
      <w:pPr>
        <w:pStyle w:val="NoSpacing"/>
        <w:rPr>
          <w:rFonts w:ascii="Bookman Old Style" w:hAnsi="Bookman Old Style"/>
          <w:noProof/>
          <w:sz w:val="24"/>
          <w:szCs w:val="24"/>
        </w:rPr>
      </w:pPr>
      <w:r w:rsidRPr="00EC7967">
        <w:rPr>
          <w:rFonts w:ascii="Bookman Old Style" w:hAnsi="Bookman Old Style"/>
          <w:noProof/>
          <w:sz w:val="24"/>
          <w:szCs w:val="24"/>
        </w:rPr>
        <w:t>Marking period grades are distributed using the following scale.</w:t>
      </w:r>
    </w:p>
    <w:p w:rsidR="00EC7967" w:rsidRPr="00EC7967" w:rsidRDefault="00EC7967" w:rsidP="00EC7967">
      <w:pPr>
        <w:pStyle w:val="NoSpacing"/>
        <w:rPr>
          <w:rFonts w:ascii="Bookman Old Style" w:hAnsi="Bookman Old Style"/>
          <w:noProof/>
          <w:sz w:val="24"/>
          <w:szCs w:val="24"/>
        </w:rPr>
      </w:pPr>
      <w:r w:rsidRPr="00EC7967">
        <w:rPr>
          <w:rFonts w:ascii="Bookman Old Style" w:hAnsi="Bookman Old Style"/>
          <w:noProof/>
          <w:sz w:val="24"/>
          <w:szCs w:val="24"/>
        </w:rPr>
        <w:t>A= 100 – 90%   B= 89 - 80%    C= 79 - 70%   D= 69 - 60%   F=less than 60%</w:t>
      </w:r>
    </w:p>
    <w:p w:rsidR="00EC7967" w:rsidRPr="00EC7967" w:rsidRDefault="00EC7967" w:rsidP="00EC7967">
      <w:pPr>
        <w:pStyle w:val="NoSpacing"/>
        <w:rPr>
          <w:rFonts w:ascii="Bookman Old Style" w:hAnsi="Bookman Old Style"/>
          <w:noProof/>
          <w:sz w:val="24"/>
          <w:szCs w:val="24"/>
        </w:rPr>
      </w:pPr>
    </w:p>
    <w:p w:rsidR="00EC7967" w:rsidRPr="00EC7967" w:rsidRDefault="009356C1" w:rsidP="00EC7967">
      <w:pPr>
        <w:pStyle w:val="NoSpacing"/>
        <w:rPr>
          <w:rFonts w:ascii="Bookman Old Style" w:hAnsi="Bookman Old Style"/>
          <w:noProof/>
          <w:sz w:val="24"/>
          <w:szCs w:val="24"/>
        </w:rPr>
      </w:pPr>
      <w:r>
        <w:rPr>
          <w:rFonts w:ascii="Bookman Old Style" w:hAnsi="Bookman Old Style"/>
          <w:noProof/>
          <w:sz w:val="24"/>
          <w:szCs w:val="24"/>
        </w:rPr>
        <w:t>S</w:t>
      </w:r>
      <w:r w:rsidR="00EC7967" w:rsidRPr="00EC7967">
        <w:rPr>
          <w:rFonts w:ascii="Bookman Old Style" w:hAnsi="Bookman Old Style"/>
          <w:noProof/>
          <w:sz w:val="24"/>
          <w:szCs w:val="24"/>
        </w:rPr>
        <w:t xml:space="preserve">tudents may remediate </w:t>
      </w:r>
      <w:r>
        <w:rPr>
          <w:rFonts w:ascii="Bookman Old Style" w:hAnsi="Bookman Old Style"/>
          <w:noProof/>
          <w:sz w:val="24"/>
          <w:szCs w:val="24"/>
        </w:rPr>
        <w:t xml:space="preserve">one test a marking period (excluding final exam).  </w:t>
      </w:r>
      <w:r w:rsidR="00EC7967" w:rsidRPr="00EC7967">
        <w:rPr>
          <w:rFonts w:ascii="Bookman Old Style" w:hAnsi="Bookman Old Style"/>
          <w:noProof/>
          <w:sz w:val="24"/>
          <w:szCs w:val="24"/>
        </w:rPr>
        <w:t>Remediation needs to be discussed within one week after assessment is returned.</w:t>
      </w:r>
    </w:p>
    <w:p w:rsidR="00EC7967" w:rsidRPr="00EC7967" w:rsidRDefault="00EC7967" w:rsidP="00EC7967">
      <w:pPr>
        <w:pStyle w:val="NoSpacing"/>
        <w:rPr>
          <w:rFonts w:ascii="Bookman Old Style" w:hAnsi="Bookman Old Style"/>
          <w:b/>
          <w:noProof/>
          <w:sz w:val="24"/>
          <w:szCs w:val="24"/>
        </w:rPr>
      </w:pPr>
    </w:p>
    <w:p w:rsidR="00EC7967" w:rsidRPr="00EC7967" w:rsidRDefault="00EC7967" w:rsidP="00EC7967">
      <w:pPr>
        <w:pStyle w:val="NoSpacing"/>
        <w:rPr>
          <w:rFonts w:ascii="Bookman Old Style" w:hAnsi="Bookman Old Style"/>
          <w:noProof/>
          <w:sz w:val="24"/>
          <w:szCs w:val="24"/>
        </w:rPr>
      </w:pPr>
      <w:r w:rsidRPr="00EC7967">
        <w:rPr>
          <w:b/>
          <w:noProof/>
          <w:sz w:val="24"/>
          <w:szCs w:val="24"/>
        </w:rPr>
        <w:t xml:space="preserve">CLASS CUTS:  </w:t>
      </w:r>
      <w:r w:rsidRPr="00EC7967">
        <w:rPr>
          <w:rFonts w:ascii="Bookman Old Style" w:hAnsi="Bookman Old Style"/>
          <w:noProof/>
          <w:sz w:val="24"/>
          <w:szCs w:val="24"/>
        </w:rPr>
        <w:t>School policy dictates that for each marking period the first clas</w:t>
      </w:r>
      <w:r w:rsidR="00CC561A">
        <w:rPr>
          <w:rFonts w:ascii="Bookman Old Style" w:hAnsi="Bookman Old Style"/>
          <w:noProof/>
          <w:sz w:val="24"/>
          <w:szCs w:val="24"/>
        </w:rPr>
        <w:t xml:space="preserve">s cut will result in a </w:t>
      </w:r>
      <w:r w:rsidRPr="00EC7967">
        <w:rPr>
          <w:rFonts w:ascii="Bookman Old Style" w:hAnsi="Bookman Old Style"/>
          <w:noProof/>
          <w:sz w:val="24"/>
          <w:szCs w:val="24"/>
        </w:rPr>
        <w:t>detention, second cut will lower your grade by one letter and a third cut will result in a failing grade.</w:t>
      </w:r>
    </w:p>
    <w:p w:rsidR="00EC7967" w:rsidRPr="00EC7967" w:rsidRDefault="00EC7967" w:rsidP="00EC7967">
      <w:pPr>
        <w:pStyle w:val="NoSpacing"/>
        <w:rPr>
          <w:rFonts w:ascii="Bookman Old Style" w:hAnsi="Bookman Old Style"/>
          <w:noProof/>
          <w:sz w:val="24"/>
          <w:szCs w:val="24"/>
        </w:rPr>
      </w:pPr>
    </w:p>
    <w:p w:rsidR="00EC7967" w:rsidRPr="00EC7967" w:rsidRDefault="00EC7967" w:rsidP="00EC7967">
      <w:pPr>
        <w:pStyle w:val="NoSpacing"/>
        <w:rPr>
          <w:sz w:val="24"/>
          <w:szCs w:val="24"/>
        </w:rPr>
      </w:pPr>
      <w:r w:rsidRPr="00EC7967">
        <w:rPr>
          <w:b/>
          <w:noProof/>
          <w:sz w:val="24"/>
          <w:szCs w:val="24"/>
        </w:rPr>
        <w:t xml:space="preserve">MISSED WORK:  </w:t>
      </w:r>
      <w:r w:rsidRPr="00EC7967">
        <w:rPr>
          <w:rFonts w:ascii="Bookman Old Style" w:hAnsi="Bookman Old Style"/>
          <w:noProof/>
          <w:sz w:val="24"/>
          <w:szCs w:val="24"/>
        </w:rPr>
        <w:t xml:space="preserve">Missed work due to absence must be completed by a date agreed to between the student and teacher.  Students missing a class each week due to a lab are advised to be assertive in gathering information regarding missed work and teacher assistance is available if discussed in advance. </w:t>
      </w:r>
    </w:p>
    <w:sectPr w:rsidR="00EC7967" w:rsidRPr="00EC7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67"/>
    <w:rsid w:val="0070022D"/>
    <w:rsid w:val="009356C1"/>
    <w:rsid w:val="00BD1C76"/>
    <w:rsid w:val="00CC561A"/>
    <w:rsid w:val="00EC7967"/>
    <w:rsid w:val="00FA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521A"/>
  <w15:chartTrackingRefBased/>
  <w15:docId w15:val="{C609F104-750A-4F6D-9BEA-B2275351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96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C796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A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AA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Janet</dc:creator>
  <cp:keywords/>
  <dc:description/>
  <cp:lastModifiedBy>Madison, Theresa</cp:lastModifiedBy>
  <cp:revision>2</cp:revision>
  <cp:lastPrinted>2017-08-29T20:39:00Z</cp:lastPrinted>
  <dcterms:created xsi:type="dcterms:W3CDTF">2020-08-11T16:13:00Z</dcterms:created>
  <dcterms:modified xsi:type="dcterms:W3CDTF">2020-08-11T16:13:00Z</dcterms:modified>
</cp:coreProperties>
</file>